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90600D">
      <w:pPr>
        <w:rPr>
          <w:rFonts w:ascii="黑体" w:hAnsi="宋体" w:eastAsia="黑体" w:cs="黑体"/>
          <w:bCs/>
          <w:sz w:val="32"/>
          <w:szCs w:val="32"/>
          <w:highlight w:val="none"/>
        </w:rPr>
      </w:pPr>
      <w:r>
        <w:rPr>
          <w:rFonts w:hint="eastAsia" w:ascii="黑体" w:hAnsi="宋体" w:eastAsia="黑体" w:cs="黑体"/>
          <w:bCs/>
          <w:sz w:val="32"/>
          <w:szCs w:val="32"/>
          <w:highlight w:val="none"/>
          <w:lang w:bidi="ar"/>
        </w:rPr>
        <w:t>附件2</w:t>
      </w:r>
    </w:p>
    <w:p w14:paraId="2F4CDFB1">
      <w:pPr>
        <w:snapToGrid w:val="0"/>
        <w:spacing w:line="560" w:lineRule="exact"/>
        <w:jc w:val="center"/>
        <w:outlineLvl w:val="0"/>
        <w:rPr>
          <w:rFonts w:ascii="方正小标宋简体" w:hAnsi="等线 Light" w:eastAsia="方正小标宋简体" w:cs="Times New Roman"/>
          <w:bCs/>
          <w:sz w:val="44"/>
          <w:szCs w:val="32"/>
          <w:highlight w:val="none"/>
        </w:rPr>
      </w:pPr>
      <w:r>
        <w:rPr>
          <w:rFonts w:hint="eastAsia" w:ascii="方正小标宋简体" w:hAnsi="等线 Light" w:eastAsia="方正小标宋简体" w:cs="Times New Roman"/>
          <w:bCs/>
          <w:sz w:val="44"/>
          <w:szCs w:val="32"/>
          <w:highlight w:val="none"/>
          <w:lang w:bidi="ar"/>
        </w:rPr>
        <w:t>大学生新文科实践创新大赛</w:t>
      </w:r>
    </w:p>
    <w:p w14:paraId="70A85C03">
      <w:pPr>
        <w:snapToGrid w:val="0"/>
        <w:spacing w:line="560" w:lineRule="exact"/>
        <w:jc w:val="center"/>
        <w:outlineLvl w:val="0"/>
        <w:rPr>
          <w:rFonts w:ascii="方正小标宋简体" w:hAnsi="等线 Light" w:eastAsia="方正小标宋简体" w:cs="Times New Roman"/>
          <w:bCs/>
          <w:sz w:val="44"/>
          <w:szCs w:val="32"/>
          <w:highlight w:val="none"/>
        </w:rPr>
      </w:pPr>
      <w:r>
        <w:rPr>
          <w:rFonts w:hint="eastAsia" w:ascii="方正小标宋简体" w:hAnsi="等线 Light" w:eastAsia="方正小标宋简体" w:cs="Times New Roman"/>
          <w:bCs/>
          <w:sz w:val="44"/>
          <w:szCs w:val="32"/>
          <w:highlight w:val="none"/>
          <w:lang w:bidi="ar"/>
        </w:rPr>
        <w:t>评审指标体系</w:t>
      </w:r>
    </w:p>
    <w:tbl>
      <w:tblPr>
        <w:tblStyle w:val="4"/>
        <w:tblW w:w="5151" w:type="pct"/>
        <w:tblInd w:w="-1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5"/>
        <w:gridCol w:w="1351"/>
        <w:gridCol w:w="6463"/>
      </w:tblGrid>
      <w:tr w14:paraId="1BC00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6E05F7">
            <w:pPr>
              <w:spacing w:line="400" w:lineRule="exact"/>
              <w:jc w:val="center"/>
              <w:rPr>
                <w:rFonts w:ascii="黑体" w:hAnsi="宋体" w:eastAsia="黑体" w:cs="仿宋_GB2312"/>
                <w:bCs/>
                <w:sz w:val="28"/>
                <w:szCs w:val="24"/>
                <w:highlight w:val="none"/>
              </w:rPr>
            </w:pPr>
            <w:r>
              <w:rPr>
                <w:rFonts w:hint="eastAsia" w:ascii="黑体" w:hAnsi="宋体" w:eastAsia="黑体" w:cs="仿宋_GB2312"/>
                <w:bCs/>
                <w:sz w:val="28"/>
                <w:szCs w:val="24"/>
                <w:highlight w:val="none"/>
                <w:lang w:bidi="ar"/>
              </w:rPr>
              <w:t>评审</w:t>
            </w:r>
          </w:p>
          <w:p w14:paraId="11A65B70">
            <w:pPr>
              <w:spacing w:line="40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黑体" w:hAnsi="宋体" w:eastAsia="黑体" w:cs="仿宋_GB2312"/>
                <w:bCs/>
                <w:sz w:val="28"/>
                <w:szCs w:val="24"/>
                <w:highlight w:val="none"/>
                <w:lang w:bidi="ar"/>
              </w:rPr>
              <w:t>维度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CF453A">
            <w:pPr>
              <w:spacing w:line="400" w:lineRule="exact"/>
              <w:jc w:val="center"/>
              <w:rPr>
                <w:rFonts w:ascii="黑体" w:hAnsi="宋体" w:eastAsia="黑体" w:cs="仿宋_GB2312"/>
                <w:bCs/>
                <w:sz w:val="28"/>
                <w:szCs w:val="24"/>
                <w:highlight w:val="none"/>
              </w:rPr>
            </w:pPr>
            <w:r>
              <w:rPr>
                <w:rFonts w:hint="eastAsia" w:ascii="黑体" w:hAnsi="宋体" w:eastAsia="黑体" w:cs="仿宋_GB2312"/>
                <w:bCs/>
                <w:sz w:val="28"/>
                <w:szCs w:val="24"/>
                <w:highlight w:val="none"/>
                <w:lang w:bidi="ar"/>
              </w:rPr>
              <w:t>评审</w:t>
            </w:r>
          </w:p>
          <w:p w14:paraId="06A0F8AE">
            <w:pPr>
              <w:spacing w:line="40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黑体" w:hAnsi="宋体" w:eastAsia="黑体" w:cs="仿宋_GB2312"/>
                <w:bCs/>
                <w:sz w:val="28"/>
                <w:szCs w:val="24"/>
                <w:highlight w:val="none"/>
                <w:lang w:bidi="ar"/>
              </w:rPr>
              <w:t>要点</w:t>
            </w:r>
          </w:p>
        </w:tc>
        <w:tc>
          <w:tcPr>
            <w:tcW w:w="6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BA8C4">
            <w:pPr>
              <w:jc w:val="center"/>
              <w:rPr>
                <w:rFonts w:ascii="宋体" w:hAnsi="宋体" w:eastAsia="宋体" w:cs="宋体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黑体" w:hAnsi="宋体" w:eastAsia="黑体" w:cs="仿宋_GB2312"/>
                <w:bCs/>
                <w:sz w:val="28"/>
                <w:szCs w:val="24"/>
                <w:highlight w:val="none"/>
                <w:lang w:bidi="ar"/>
              </w:rPr>
              <w:t>评审内容</w:t>
            </w:r>
          </w:p>
        </w:tc>
      </w:tr>
      <w:tr w14:paraId="1E07F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0" w:hRule="exact"/>
        </w:trPr>
        <w:tc>
          <w:tcPr>
            <w:tcW w:w="10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885E33">
            <w:pPr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过程</w:t>
            </w:r>
          </w:p>
          <w:p w14:paraId="11633D34">
            <w:pPr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评价（70%）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EB822">
            <w:pPr>
              <w:tabs>
                <w:tab w:val="left" w:pos="312"/>
              </w:tabs>
              <w:spacing w:line="36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选题意义（10%）</w:t>
            </w:r>
          </w:p>
        </w:tc>
        <w:tc>
          <w:tcPr>
            <w:tcW w:w="6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63CE77">
            <w:pPr>
              <w:numPr>
                <w:ilvl w:val="255"/>
                <w:numId w:val="0"/>
              </w:numPr>
              <w:tabs>
                <w:tab w:val="left" w:pos="312"/>
              </w:tabs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1.弘扬正确的价值观，弘扬社会主义核心价值观，厚植家国情怀，恪守学术伦理与职业规范，激发创新精神与社会责任感。</w:t>
            </w:r>
          </w:p>
          <w:p w14:paraId="6AA7FAC6">
            <w:pPr>
              <w:numPr>
                <w:ilvl w:val="255"/>
                <w:numId w:val="0"/>
              </w:numPr>
              <w:tabs>
                <w:tab w:val="left" w:pos="312"/>
              </w:tabs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2.紧密对接国家战略布局和区域经济社会发展需求和问题，彰显文科在服务社会、破解复杂难题中的时代价值。</w:t>
            </w:r>
          </w:p>
        </w:tc>
      </w:tr>
      <w:tr w14:paraId="45293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7" w:hRule="exact"/>
        </w:trPr>
        <w:tc>
          <w:tcPr>
            <w:tcW w:w="10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70E719">
            <w:pPr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</w:pP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DDE44">
            <w:pPr>
              <w:tabs>
                <w:tab w:val="left" w:pos="312"/>
              </w:tabs>
              <w:spacing w:line="36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问题导向（15%）</w:t>
            </w:r>
          </w:p>
        </w:tc>
        <w:tc>
          <w:tcPr>
            <w:tcW w:w="6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52DB14">
            <w:pPr>
              <w:numPr>
                <w:ilvl w:val="255"/>
                <w:numId w:val="0"/>
              </w:numPr>
              <w:tabs>
                <w:tab w:val="left" w:pos="312"/>
              </w:tabs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1.围绕国家战略、区域发展中的真实问题确立实践创新方向，问题来源具有现实根基与实践紧迫性。</w:t>
            </w:r>
          </w:p>
          <w:p w14:paraId="66E8CA0B">
            <w:pPr>
              <w:numPr>
                <w:ilvl w:val="255"/>
                <w:numId w:val="0"/>
              </w:numPr>
              <w:tabs>
                <w:tab w:val="left" w:pos="312"/>
              </w:tabs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2.立足专业理论知识，综合运用新理念、新方法、新技术等多元手段，提出切实可行的问题解决方案。</w:t>
            </w:r>
          </w:p>
          <w:p w14:paraId="12C89F20">
            <w:pPr>
              <w:pStyle w:val="2"/>
              <w:spacing w:line="400" w:lineRule="exact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</w:p>
        </w:tc>
      </w:tr>
      <w:tr w14:paraId="333BE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9" w:hRule="exact"/>
        </w:trPr>
        <w:tc>
          <w:tcPr>
            <w:tcW w:w="10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F72CAF">
            <w:pPr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</w:pP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0C7D2">
            <w:pPr>
              <w:tabs>
                <w:tab w:val="left" w:pos="312"/>
              </w:tabs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实践过程（30%）</w:t>
            </w:r>
          </w:p>
        </w:tc>
        <w:tc>
          <w:tcPr>
            <w:tcW w:w="6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88C16C">
            <w:pPr>
              <w:numPr>
                <w:ilvl w:val="255"/>
                <w:numId w:val="0"/>
              </w:numPr>
              <w:tabs>
                <w:tab w:val="left" w:pos="312"/>
              </w:tabs>
              <w:spacing w:line="360" w:lineRule="exact"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1.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深入基层一线、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 w:bidi="ar"/>
              </w:rPr>
              <w:t>真实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社会场景，运用专业知识、交叉学科方法及数字技术开展实践活动，实现专业学习与实践锻炼的有机结合，</w:t>
            </w: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杜绝纯线上、纯纸面虚拟实践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。</w:t>
            </w:r>
          </w:p>
          <w:p w14:paraId="55464B5A">
            <w:pPr>
              <w:numPr>
                <w:ilvl w:val="255"/>
                <w:numId w:val="0"/>
              </w:numPr>
              <w:tabs>
                <w:tab w:val="left" w:pos="312"/>
              </w:tabs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</w:pP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2.实践目标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清晰</w:t>
            </w: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明确，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规划科学系统，聚焦真实社会问题，采用多元、专业且具有实操性的实践形式，</w:t>
            </w: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步骤合理有序，团队分工明晰，权责到位。</w:t>
            </w:r>
          </w:p>
          <w:p w14:paraId="69228164">
            <w:pPr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</w:pP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3.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具有完整的实施流程，涵盖实践时长、频次、覆盖规模、人力投入等要素，具有详实规范的动态记录（现场影像、访谈记录、调研日志、第三方证明等）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eastAsia="zh-CN" w:bidi="ar"/>
              </w:rPr>
              <w:t>，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原始资料真实完备。</w:t>
            </w:r>
          </w:p>
          <w:p w14:paraId="6A831968">
            <w:pPr>
              <w:numPr>
                <w:ilvl w:val="255"/>
                <w:numId w:val="0"/>
              </w:numPr>
              <w:tabs>
                <w:tab w:val="left" w:pos="312"/>
              </w:tabs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</w:pP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4.实践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 w:bidi="ar"/>
              </w:rPr>
              <w:t>收获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要从</w:t>
            </w: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专业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能力成长</w:t>
            </w: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、实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操经验积累</w:t>
            </w: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、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综合素质</w:t>
            </w: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提升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及</w:t>
            </w: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团队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协作</w:t>
            </w: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等方面形成真实深刻的实践感悟，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并在此基础上</w:t>
            </w: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总结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 w:bidi="ar"/>
              </w:rPr>
              <w:t>提炼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具有</w:t>
            </w: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推广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价值和可复制的</w:t>
            </w: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实践创新经验。</w:t>
            </w:r>
          </w:p>
        </w:tc>
      </w:tr>
      <w:tr w14:paraId="774A8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9" w:hRule="exact"/>
        </w:trPr>
        <w:tc>
          <w:tcPr>
            <w:tcW w:w="10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4576B3">
            <w:pPr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</w:pP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1787A8">
            <w:pPr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方法运用（15%）</w:t>
            </w:r>
          </w:p>
        </w:tc>
        <w:tc>
          <w:tcPr>
            <w:tcW w:w="6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FE588">
            <w:pPr>
              <w:numPr>
                <w:ilvl w:val="255"/>
                <w:numId w:val="0"/>
              </w:numPr>
              <w:spacing w:line="360" w:lineRule="exact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综合运用调查研究、案例分析、情景模拟、参与式观察、行动研究等多元实践研究方法，并借助数字技术手段，提升实践创新活动的科学性、有效性与前沿性。</w:t>
            </w:r>
          </w:p>
        </w:tc>
      </w:tr>
      <w:tr w14:paraId="462A9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6" w:hRule="exact"/>
        </w:trPr>
        <w:tc>
          <w:tcPr>
            <w:tcW w:w="10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8F4599"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成果</w:t>
            </w:r>
          </w:p>
          <w:p w14:paraId="598804D5"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评价（30%）</w:t>
            </w:r>
          </w:p>
          <w:p w14:paraId="557FC1FA"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D5A9A">
            <w:pPr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学理性（10%）</w:t>
            </w:r>
          </w:p>
        </w:tc>
        <w:tc>
          <w:tcPr>
            <w:tcW w:w="6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01395E">
            <w:pPr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实践成果充分体现对专业知识的深入理解与灵活运用，能够对实践现象进行系统性剖析和理论构建，逻辑严密、论证科学，兼具科术深度与创新视野。</w:t>
            </w:r>
          </w:p>
        </w:tc>
      </w:tr>
      <w:tr w14:paraId="587C5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8" w:hRule="exact"/>
        </w:trPr>
        <w:tc>
          <w:tcPr>
            <w:tcW w:w="10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08C157">
            <w:pPr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</w:pP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54111F">
            <w:pPr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创新点（10%）</w:t>
            </w:r>
          </w:p>
        </w:tc>
        <w:tc>
          <w:tcPr>
            <w:tcW w:w="6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BF1D8A">
            <w:pPr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成果具有显著创新性，对解决社会现实问题，推动形成新方案、新模式、新业态新产业具有积极促进作用。</w:t>
            </w:r>
          </w:p>
        </w:tc>
      </w:tr>
      <w:tr w14:paraId="1A4BD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exact"/>
        </w:trPr>
        <w:tc>
          <w:tcPr>
            <w:tcW w:w="10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621869">
            <w:pPr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</w:pP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A838E">
            <w:pPr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</w:pPr>
          </w:p>
          <w:p w14:paraId="2279BB7B">
            <w:pPr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可操作性（10%）</w:t>
            </w:r>
          </w:p>
          <w:p w14:paraId="761F81E3">
            <w:pPr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</w:p>
        </w:tc>
        <w:tc>
          <w:tcPr>
            <w:tcW w:w="6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9CC121">
            <w:pPr>
              <w:spacing w:line="360" w:lineRule="exact"/>
              <w:jc w:val="left"/>
              <w:rPr>
                <w:rFonts w:ascii="Calibri" w:hAnsi="Calibri" w:eastAsia="宋体" w:cs="Times New Roman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成果具有应用性、可操作性，能够切实解决社会问题，并在一定范围内产生示范效应，助力经济社会高质量发展。</w:t>
            </w:r>
          </w:p>
        </w:tc>
      </w:tr>
    </w:tbl>
    <w:p w14:paraId="6F5FCD4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BDCC82C-0738-46BB-8B45-8344073A123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E728A4DF-2660-4281-A25F-E1770767F43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957E6F11-E96B-4C95-BCC6-20337089E5A7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4" w:fontKey="{50D53758-67F0-43CD-83C1-0561257DA116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63BD16C7-A7E3-4606-ACA8-68B43CE68D7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3F6137"/>
    <w:rsid w:val="4D2B0FB6"/>
    <w:rsid w:val="74B82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qFormat/>
    <w:uiPriority w:val="0"/>
    <w:rPr>
      <w:rFonts w:ascii="仿宋" w:hAnsi="仿宋" w:eastAsia="仿宋" w:cs="仿宋"/>
      <w:sz w:val="31"/>
      <w:szCs w:val="31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807</Words>
  <Characters>833</Characters>
  <Lines>0</Lines>
  <Paragraphs>0</Paragraphs>
  <TotalTime>1</TotalTime>
  <ScaleCrop>false</ScaleCrop>
  <LinksUpToDate>false</LinksUpToDate>
  <CharactersWithSpaces>833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2026-07-22T05:52:00Z</dcterms:created>
  <dc:creator>17500</dc:creator>
  <cp:lastModifiedBy>路人</cp:lastModifiedBy>
  <dcterms:modified xsi:type="dcterms:W3CDTF">2026-08-30T11:52:45Z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eyJoZGlkIjoiOTU3N2RlOWVjOTY1M2MyYzUzMTU2NzllNDZlOWJkZjMiLCJ1c2VySWQiOiI3OTUyOTc0MzgifQ==</vt:lpwstr>
  </property>
  <property fmtid="{D5CDD505-2E9C-101B-9397-08002B2CF9AE}" pid="4" name="ICV">
    <vt:lpwstr>131EC5BEEC064E89AD676D2652DB8B3A_13</vt:lpwstr>
  </property>
</Properties>
</file>